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EC37" w14:textId="77777777" w:rsidR="00824365" w:rsidRDefault="005C3648" w:rsidP="005C3648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7E10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ข้อตกลงและเงื่อนไขในการขอรับบริการ</w:t>
      </w:r>
      <w:r w:rsidRPr="005C3648">
        <w:rPr>
          <w:rFonts w:ascii="TH SarabunPSK" w:hAnsi="TH SarabunPSK" w:cs="TH SarabunPSK"/>
          <w:b/>
          <w:bCs/>
          <w:sz w:val="32"/>
          <w:szCs w:val="32"/>
          <w:cs/>
        </w:rPr>
        <w:t>งานวิเคราะห์การเจือปนน้ำตาลในน้ำผึ้งและน้ำมะพร้าว</w:t>
      </w:r>
    </w:p>
    <w:p w14:paraId="29812624" w14:textId="2139CDEE" w:rsidR="005C3648" w:rsidRPr="00C17E10" w:rsidRDefault="00824365" w:rsidP="005C3648">
      <w:pPr>
        <w:spacing w:after="24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ด้วยเทคนิคไอโซโทปเสถียร</w:t>
      </w:r>
    </w:p>
    <w:p w14:paraId="5AA10A85" w14:textId="77777777" w:rsidR="005C3648" w:rsidRPr="00C17E10" w:rsidRDefault="005C3648" w:rsidP="005C3648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17E10">
        <w:rPr>
          <w:rFonts w:ascii="TH SarabunPSK" w:hAnsi="TH SarabunPSK" w:cs="TH SarabunPSK"/>
          <w:sz w:val="28"/>
          <w:szCs w:val="28"/>
          <w:cs/>
        </w:rPr>
        <w:t xml:space="preserve">ผู้ขอรับบริการ </w:t>
      </w:r>
      <w:r>
        <w:rPr>
          <w:rFonts w:ascii="TH SarabunPSK" w:hAnsi="TH SarabunPSK" w:cs="TH SarabunPSK" w:hint="cs"/>
          <w:sz w:val="28"/>
          <w:szCs w:val="28"/>
          <w:cs/>
        </w:rPr>
        <w:t>โปรด</w:t>
      </w:r>
      <w:r w:rsidRPr="00C17E10">
        <w:rPr>
          <w:rFonts w:ascii="TH SarabunPSK" w:hAnsi="TH SarabunPSK" w:cs="TH SarabunPSK"/>
          <w:sz w:val="28"/>
          <w:szCs w:val="28"/>
          <w:cs/>
        </w:rPr>
        <w:t>รับทราบเงื่อนไขข้อตกลงก่อนขอรับบริการทุกครั้ง รายละเอียดดังนี้</w:t>
      </w:r>
    </w:p>
    <w:p w14:paraId="6F1D692E" w14:textId="77777777" w:rsidR="005C3648" w:rsidRDefault="005C3648" w:rsidP="005C3648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3460C28B" w14:textId="54A7F8E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u w:val="single"/>
          <w:cs/>
          <w14:ligatures w14:val="none"/>
        </w:rPr>
        <w:t xml:space="preserve">ข้อ </w:t>
      </w:r>
      <w:r w:rsidRPr="005C36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u w:val="single"/>
          <w14:ligatures w14:val="none"/>
        </w:rPr>
        <w:t xml:space="preserve">1 </w:t>
      </w:r>
      <w:r w:rsidRPr="005C36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u w:val="single"/>
          <w:cs/>
          <w14:ligatures w14:val="none"/>
        </w:rPr>
        <w:t>ปริมาณตัวอย่างในการจัดส่ง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</w:t>
      </w:r>
    </w:p>
    <w:p w14:paraId="7F142D47" w14:textId="77777777" w:rsidR="005C3648" w:rsidRPr="005C3648" w:rsidRDefault="005C3648" w:rsidP="005C3648">
      <w:pPr>
        <w:spacing w:after="0" w:line="259" w:lineRule="auto"/>
        <w:rPr>
          <w:rFonts w:ascii="TH SarabunPSK" w:hAnsi="TH SarabunPSK" w:cs="TH SarabunPSK"/>
          <w:b/>
          <w:bCs/>
          <w:kern w:val="0"/>
          <w:sz w:val="22"/>
          <w:szCs w:val="28"/>
          <w:cs/>
          <w14:ligatures w14:val="none"/>
        </w:rPr>
      </w:pPr>
      <w:r w:rsidRPr="005C3648">
        <w:rPr>
          <w:rFonts w:ascii="TH SarabunPSK" w:hAnsi="TH SarabunPSK" w:cs="TH SarabunPSK"/>
          <w:b/>
          <w:bCs/>
          <w:kern w:val="0"/>
          <w:sz w:val="28"/>
          <w:szCs w:val="36"/>
          <w14:ligatures w14:val="none"/>
        </w:rPr>
        <w:t xml:space="preserve">1.1 </w:t>
      </w:r>
      <w:r w:rsidRPr="005C3648">
        <w:rPr>
          <w:rFonts w:ascii="TH SarabunPSK" w:hAnsi="TH SarabunPSK" w:cs="TH SarabunPSK"/>
          <w:b/>
          <w:bCs/>
          <w:kern w:val="0"/>
          <w:sz w:val="22"/>
          <w:szCs w:val="28"/>
          <w:cs/>
          <w14:ligatures w14:val="none"/>
        </w:rPr>
        <w:t>ตัวอย่างน้ำผึ้ง</w:t>
      </w:r>
    </w:p>
    <w:p w14:paraId="4419F461" w14:textId="77777777" w:rsidR="005C3648" w:rsidRPr="005C3648" w:rsidRDefault="005C3648" w:rsidP="005C3648">
      <w:pPr>
        <w:numPr>
          <w:ilvl w:val="0"/>
          <w:numId w:val="2"/>
        </w:numPr>
        <w:spacing w:after="0" w:line="259" w:lineRule="auto"/>
        <w:contextualSpacing/>
        <w:rPr>
          <w:rFonts w:ascii="TH SarabunPSK" w:hAnsi="TH SarabunPSK" w:cs="TH SarabunPSK"/>
          <w:kern w:val="0"/>
          <w:sz w:val="22"/>
          <w:szCs w:val="28"/>
          <w14:ligatures w14:val="none"/>
        </w:rPr>
      </w:pPr>
      <w:r w:rsidRPr="005C3648">
        <w:rPr>
          <w:rFonts w:ascii="TH SarabunPSK" w:hAnsi="TH SarabunPSK" w:cs="TH SarabunPSK"/>
          <w:kern w:val="0"/>
          <w:sz w:val="22"/>
          <w:szCs w:val="28"/>
          <w:cs/>
          <w14:ligatures w14:val="none"/>
        </w:rPr>
        <w:t>บรรจุน้ำผึ้งลงในภาชนะที่สะอาดและะปิดสนิท</w:t>
      </w:r>
    </w:p>
    <w:p w14:paraId="32C1032F" w14:textId="77777777" w:rsidR="005C3648" w:rsidRPr="005C3648" w:rsidRDefault="005C3648" w:rsidP="005C3648">
      <w:pPr>
        <w:numPr>
          <w:ilvl w:val="0"/>
          <w:numId w:val="2"/>
        </w:numPr>
        <w:spacing w:after="0" w:line="259" w:lineRule="auto"/>
        <w:contextualSpacing/>
        <w:rPr>
          <w:rFonts w:ascii="TH SarabunPSK" w:hAnsi="TH SarabunPSK" w:cs="TH SarabunPSK"/>
          <w:kern w:val="0"/>
          <w:sz w:val="22"/>
          <w:szCs w:val="28"/>
          <w14:ligatures w14:val="none"/>
        </w:rPr>
      </w:pPr>
      <w:r w:rsidRPr="005C3648">
        <w:rPr>
          <w:rFonts w:ascii="TH SarabunPSK" w:hAnsi="TH SarabunPSK" w:cs="TH SarabunPSK"/>
          <w:kern w:val="0"/>
          <w:sz w:val="22"/>
          <w:szCs w:val="28"/>
          <w:cs/>
          <w14:ligatures w14:val="none"/>
        </w:rPr>
        <w:t>น้ำผึ้งสามารถจัดส่งได้ในอุณภูมิแวดล้อมปกติ</w:t>
      </w:r>
    </w:p>
    <w:p w14:paraId="31A3E2AA" w14:textId="77777777" w:rsidR="005C3648" w:rsidRPr="005C3648" w:rsidRDefault="005C3648" w:rsidP="005C3648">
      <w:pPr>
        <w:numPr>
          <w:ilvl w:val="0"/>
          <w:numId w:val="2"/>
        </w:numPr>
        <w:spacing w:after="0" w:line="259" w:lineRule="auto"/>
        <w:contextualSpacing/>
        <w:rPr>
          <w:rFonts w:ascii="TH SarabunPSK" w:hAnsi="TH SarabunPSK" w:cs="TH SarabunPSK"/>
          <w:kern w:val="0"/>
          <w:sz w:val="22"/>
          <w:szCs w:val="28"/>
          <w14:ligatures w14:val="none"/>
        </w:rPr>
      </w:pPr>
      <w:r w:rsidRPr="005C3648">
        <w:rPr>
          <w:rFonts w:ascii="TH SarabunPSK" w:hAnsi="TH SarabunPSK" w:cs="TH SarabunPSK"/>
          <w:kern w:val="0"/>
          <w:sz w:val="22"/>
          <w:szCs w:val="28"/>
          <w:cs/>
          <w14:ligatures w14:val="none"/>
        </w:rPr>
        <w:t>ปริมาณน้ำผึ้งไม่น้อยกว่า 100 กรัม</w:t>
      </w:r>
      <w:r w:rsidRPr="005C3648">
        <w:rPr>
          <w:rFonts w:ascii="TH SarabunPSK" w:hAnsi="TH SarabunPSK" w:cs="TH SarabunPSK"/>
          <w:kern w:val="0"/>
          <w:sz w:val="22"/>
          <w:szCs w:val="28"/>
          <w14:ligatures w14:val="none"/>
        </w:rPr>
        <w:t xml:space="preserve"> </w:t>
      </w:r>
    </w:p>
    <w:p w14:paraId="773B5D42" w14:textId="77777777" w:rsidR="005C3648" w:rsidRPr="005C3648" w:rsidRDefault="005C3648" w:rsidP="005C3648">
      <w:pPr>
        <w:spacing w:after="0" w:line="259" w:lineRule="auto"/>
        <w:rPr>
          <w:rFonts w:ascii="TH SarabunPSK" w:hAnsi="TH SarabunPSK" w:cs="TH SarabunPSK"/>
          <w:b/>
          <w:bCs/>
          <w:kern w:val="0"/>
          <w:sz w:val="28"/>
          <w:szCs w:val="28"/>
          <w14:ligatures w14:val="none"/>
        </w:rPr>
      </w:pPr>
      <w:r w:rsidRPr="005C3648">
        <w:rPr>
          <w:rFonts w:ascii="TH SarabunPSK" w:hAnsi="TH SarabunPSK" w:cs="TH SarabunPSK"/>
          <w:b/>
          <w:bCs/>
          <w:kern w:val="0"/>
          <w:sz w:val="28"/>
          <w:szCs w:val="28"/>
          <w14:ligatures w14:val="none"/>
        </w:rPr>
        <w:t xml:space="preserve">1.2 </w:t>
      </w:r>
      <w:r w:rsidRPr="005C3648">
        <w:rPr>
          <w:rFonts w:ascii="TH SarabunPSK" w:hAnsi="TH SarabunPSK" w:cs="TH SarabunPSK"/>
          <w:b/>
          <w:bCs/>
          <w:kern w:val="0"/>
          <w:sz w:val="28"/>
          <w:szCs w:val="28"/>
          <w:cs/>
          <w14:ligatures w14:val="none"/>
        </w:rPr>
        <w:t>ตัวอย่างน้ำมะพร้าว</w:t>
      </w:r>
    </w:p>
    <w:p w14:paraId="3B75B473" w14:textId="77777777" w:rsidR="005C3648" w:rsidRPr="005C3648" w:rsidRDefault="005C3648" w:rsidP="005C3648">
      <w:pPr>
        <w:spacing w:after="0" w:line="259" w:lineRule="auto"/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</w:pP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 xml:space="preserve">1.2.1 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 xml:space="preserve">น้ำมะพร้าวสดจากลูก </w:t>
      </w:r>
    </w:p>
    <w:p w14:paraId="2D9862D7" w14:textId="77777777" w:rsidR="005C3648" w:rsidRPr="005C3648" w:rsidRDefault="005C3648" w:rsidP="005C3648">
      <w:pPr>
        <w:numPr>
          <w:ilvl w:val="0"/>
          <w:numId w:val="1"/>
        </w:numPr>
        <w:spacing w:after="0" w:line="259" w:lineRule="auto"/>
        <w:contextualSpacing/>
        <w:rPr>
          <w:rFonts w:ascii="TH SarabunPSK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>บรรจุน้ำมะพร้าวใส่ภาชนะที่สะอาดและปิดสนิท</w:t>
      </w: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 xml:space="preserve"> </w:t>
      </w:r>
    </w:p>
    <w:p w14:paraId="4A149B63" w14:textId="77777777" w:rsidR="005C3648" w:rsidRPr="005C3648" w:rsidRDefault="005C3648" w:rsidP="005C3648">
      <w:pPr>
        <w:numPr>
          <w:ilvl w:val="0"/>
          <w:numId w:val="1"/>
        </w:numPr>
        <w:spacing w:after="0" w:line="259" w:lineRule="auto"/>
        <w:contextualSpacing/>
        <w:rPr>
          <w:rFonts w:ascii="TH SarabunPSK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>น้ำมะพร้าวสดต้องถูกเก็บรักษาที่อุณหภูมิต่ำกว่า 4 องศาเซลเซียส ก่อนและขณะจัดส่งมาวิเคราะห์ในห้องปฏิบัติการ</w:t>
      </w: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 xml:space="preserve"> 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>เพื่อป้องกันการบูดเสียระหว่างขนส่งเนื่องจากการบูดเสียมีผลต่อการวิเคราะห์ผลจึงจำเป็นอย่างยิ่งต้องแช่เย็นหรือแช่แข็งมา</w:t>
      </w:r>
    </w:p>
    <w:p w14:paraId="1399F12C" w14:textId="77777777" w:rsidR="005C3648" w:rsidRPr="005C3648" w:rsidRDefault="005C3648" w:rsidP="005C3648">
      <w:pPr>
        <w:numPr>
          <w:ilvl w:val="0"/>
          <w:numId w:val="1"/>
        </w:numPr>
        <w:spacing w:after="0" w:line="259" w:lineRule="auto"/>
        <w:contextualSpacing/>
        <w:rPr>
          <w:rFonts w:ascii="TH SarabunPSK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 xml:space="preserve">ปริมาณน้ำมะพร้าวที่ใช้ 150 </w:t>
      </w: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>- 200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 xml:space="preserve"> </w:t>
      </w: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>ml (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>มิลลิลิตร)</w:t>
      </w:r>
    </w:p>
    <w:p w14:paraId="13C5CE0C" w14:textId="77777777" w:rsidR="005C3648" w:rsidRPr="005C3648" w:rsidRDefault="005C3648" w:rsidP="005C3648">
      <w:pPr>
        <w:spacing w:after="0" w:line="259" w:lineRule="auto"/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</w:pP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 xml:space="preserve">1.2.2 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 xml:space="preserve">ตัวอย่างน้ำมะพร้าวในบรรจุภัณท์ </w:t>
      </w: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 xml:space="preserve">UHT 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 xml:space="preserve">( </w:t>
      </w:r>
      <w:proofErr w:type="spellStart"/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>Ultra High</w:t>
      </w:r>
      <w:proofErr w:type="spellEnd"/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 xml:space="preserve"> </w:t>
      </w:r>
      <w:proofErr w:type="spellStart"/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>Temperatrue</w:t>
      </w:r>
      <w:proofErr w:type="spellEnd"/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 xml:space="preserve"> 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>)</w:t>
      </w: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 xml:space="preserve"> 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>น้ำมะพร้าวบรรจุกล่อง</w:t>
      </w:r>
    </w:p>
    <w:p w14:paraId="267E6A84" w14:textId="77777777" w:rsidR="005C3648" w:rsidRPr="005C3648" w:rsidRDefault="005C3648" w:rsidP="005C3648">
      <w:pPr>
        <w:numPr>
          <w:ilvl w:val="0"/>
          <w:numId w:val="3"/>
        </w:numPr>
        <w:spacing w:after="0" w:line="259" w:lineRule="auto"/>
        <w:contextualSpacing/>
        <w:rPr>
          <w:rFonts w:ascii="TH SarabunPSK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>สามารถจัดส่งได้อุณหภูมิสภาพแวดล้อมปกติ</w:t>
      </w:r>
    </w:p>
    <w:p w14:paraId="5AC920B8" w14:textId="77777777" w:rsidR="005C3648" w:rsidRPr="005C3648" w:rsidRDefault="005C3648" w:rsidP="005C3648">
      <w:pPr>
        <w:numPr>
          <w:ilvl w:val="0"/>
          <w:numId w:val="3"/>
        </w:numPr>
        <w:spacing w:after="0" w:line="259" w:lineRule="auto"/>
        <w:contextualSpacing/>
        <w:rPr>
          <w:rFonts w:ascii="TH SarabunPSK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 xml:space="preserve">ปริมาณน้ำมะพร้าวที่ใช้ 150 - 200 </w:t>
      </w: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>ml (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>มิลลิลิตร)</w:t>
      </w:r>
    </w:p>
    <w:p w14:paraId="1F5C90BF" w14:textId="11207B4B" w:rsidR="005C3648" w:rsidRPr="005C3648" w:rsidRDefault="005C3648" w:rsidP="005C3648">
      <w:pPr>
        <w:spacing w:after="0" w:line="259" w:lineRule="auto"/>
        <w:rPr>
          <w:rFonts w:asciiTheme="majorBidi" w:hAnsiTheme="majorBidi" w:cstheme="majorBidi" w:hint="cs"/>
          <w:kern w:val="0"/>
          <w:sz w:val="32"/>
          <w:szCs w:val="32"/>
          <w14:ligatures w14:val="none"/>
        </w:rPr>
      </w:pP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 xml:space="preserve">*** 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 xml:space="preserve">หมายเหตุ </w:t>
      </w: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>: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 xml:space="preserve"> กรณีตัวอย่างน้ำมะพร้าวห้องปฏิบัติการจะทำการวิเคราะห์ตัวอย่างทันทีเมื่อตัวอย่างมาถึงและจะทำการเก็บรักษาตัวอย่างไว้ไม่เกิน </w:t>
      </w:r>
      <w:r w:rsidRPr="005C3648">
        <w:rPr>
          <w:rFonts w:ascii="TH SarabunPSK" w:hAnsi="TH SarabunPSK" w:cs="TH SarabunPSK"/>
          <w:kern w:val="0"/>
          <w:sz w:val="28"/>
          <w:szCs w:val="28"/>
          <w14:ligatures w14:val="none"/>
        </w:rPr>
        <w:t xml:space="preserve">2 </w:t>
      </w:r>
      <w:r w:rsidRPr="005C3648">
        <w:rPr>
          <w:rFonts w:ascii="TH SarabunPSK" w:hAnsi="TH SarabunPSK" w:cs="TH SarabunPSK"/>
          <w:kern w:val="0"/>
          <w:sz w:val="28"/>
          <w:szCs w:val="28"/>
          <w:cs/>
          <w14:ligatures w14:val="none"/>
        </w:rPr>
        <w:t>สัปดาห์ หลังจากครบกำหนดจะทำการกำจัดตัวอย่างทิ้งทันที</w:t>
      </w:r>
    </w:p>
    <w:p w14:paraId="3D29AE41" w14:textId="7777777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u w:val="single"/>
          <w:cs/>
          <w14:ligatures w14:val="none"/>
        </w:rPr>
        <w:t xml:space="preserve">ข้อ </w:t>
      </w:r>
      <w:r w:rsidRPr="005C36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u w:val="single"/>
          <w14:ligatures w14:val="none"/>
        </w:rPr>
        <w:t xml:space="preserve">2 </w:t>
      </w:r>
      <w:r w:rsidRPr="005C36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u w:val="single"/>
          <w:cs/>
          <w14:ligatures w14:val="none"/>
        </w:rPr>
        <w:t>การให้บริการตรวจวัดวิเคราะห์</w:t>
      </w:r>
    </w:p>
    <w:p w14:paraId="030EB64E" w14:textId="7777777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2.1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ผู้รับบริการส่งแบบคำขอรับบริการฯ</w:t>
      </w:r>
      <w:r w:rsidRPr="005C3648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 xml:space="preserve"> ใน</w:t>
      </w:r>
      <w:r w:rsidRPr="005C3648">
        <w:rPr>
          <w:rFonts w:ascii="TH SarabunPSK" w:eastAsia="Times New Roman" w:hAnsi="TH SarabunPSK" w:cs="TH SarabunPSK" w:hint="cs"/>
          <w:color w:val="000000" w:themeColor="text1"/>
          <w:kern w:val="0"/>
          <w:sz w:val="28"/>
          <w:szCs w:val="28"/>
          <w:cs/>
          <w14:ligatures w14:val="none"/>
        </w:rPr>
        <w:t>ระบบ</w:t>
      </w:r>
      <w:r w:rsidRPr="005C3648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hyperlink r:id="rId5" w:tgtFrame="_blank" w:history="1">
        <w:r w:rsidRPr="005C3648">
          <w:rPr>
            <w:rFonts w:ascii="TH SarabunPSK" w:eastAsia="Times New Roman" w:hAnsi="TH SarabunPSK" w:cs="TH SarabunPSK"/>
            <w:color w:val="000000" w:themeColor="text1"/>
            <w:kern w:val="0"/>
            <w:sz w:val="28"/>
            <w:szCs w:val="28"/>
            <w14:ligatures w14:val="none"/>
          </w:rPr>
          <w:t>TINT e-Service</w:t>
        </w:r>
      </w:hyperlink>
      <w:r w:rsidRPr="005C3648">
        <w:rPr>
          <w:rFonts w:ascii="TH SarabunPSK" w:eastAsia="Times New Roman" w:hAnsi="TH SarabunPSK" w:cs="TH SarabunPSK" w:hint="cs"/>
          <w:color w:val="000000" w:themeColor="text1"/>
          <w:kern w:val="0"/>
          <w:sz w:val="28"/>
          <w:szCs w:val="28"/>
          <w:cs/>
          <w14:ligatures w14:val="none"/>
        </w:rPr>
        <w:t xml:space="preserve"> </w:t>
      </w:r>
      <w:r w:rsidRPr="005C3648">
        <w:rPr>
          <w:rFonts w:ascii="TH SarabunPSK" w:eastAsia="Times New Roman" w:hAnsi="TH SarabunPSK" w:cs="TH SarabunPSK"/>
          <w:color w:val="000000" w:themeColor="text1"/>
          <w:kern w:val="0"/>
          <w:sz w:val="28"/>
          <w:szCs w:val="28"/>
          <w14:ligatures w14:val="none"/>
        </w:rPr>
        <w:t>Platform</w:t>
      </w:r>
      <w:r w:rsidRPr="005C3648">
        <w:rPr>
          <w:rFonts w:ascii="TH SarabunPSK" w:eastAsia="Times New Roman" w:hAnsi="TH SarabunPSK" w:cs="TH SarabunPSK"/>
          <w:color w:val="000000" w:themeColor="text1"/>
          <w:kern w:val="0"/>
          <w:sz w:val="28"/>
          <w:szCs w:val="28"/>
          <w:cs/>
          <w14:ligatures w14:val="none"/>
        </w:rPr>
        <w:t xml:space="preserve">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 xml:space="preserve">พร้อมตัวอย่างให้เจ้าหน้าที่รับตัวอย่าง </w:t>
      </w:r>
    </w:p>
    <w:p w14:paraId="667474C6" w14:textId="7777777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2.2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เจ้าหน้าที่ตรวจสอบเอกสารพร้อมตัวอย่าง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เมื่อถูกต้องจะรับเข้าระบบและแจ้งอัตราค่าบริการ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หากไม่ถูกต้องจะแจ้งให้ทำการแก้ไข (ค่าบริการตามประกาศ เรื่อง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 xml:space="preserve">อัตราค่าบริการศูนย์บริการเทคโนโลยีนิวเคลียร์ </w:t>
      </w:r>
      <w:r w:rsidRPr="005C3648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(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ฉบับล่าสุด)</w:t>
      </w:r>
    </w:p>
    <w:p w14:paraId="1CB0B0BE" w14:textId="7777777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2.3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ผู้รับบริการจะได้รับผลการวิเคราะห์หลังจากชำระค่าบริการแล้ว</w:t>
      </w:r>
    </w:p>
    <w:p w14:paraId="41792737" w14:textId="7777777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2.4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ห้องปฏิบัติการฯ มีนโยบาย ไม่ติดต่อกับผู้รับบริการในระหว่างตรวจวิเคราะห์ ยกเว้น กรณีที่จำเป็นต้องปรึกษาปัญหา</w:t>
      </w:r>
    </w:p>
    <w:p w14:paraId="04CB93BE" w14:textId="2626AFD5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2.5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กรณีที่เกิดปัญหาในการวิเคราะห์ เช่น ยกเลิกการวิเคราะห์ ห้องปฏิบัติการฯ จะแจ้งสาเหตุให้ทราบทุกครั้ง</w:t>
      </w:r>
    </w:p>
    <w:p w14:paraId="10EF9719" w14:textId="7777777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u w:val="single"/>
          <w:cs/>
          <w14:ligatures w14:val="none"/>
        </w:rPr>
        <w:t xml:space="preserve">ข้อ </w:t>
      </w:r>
      <w:r w:rsidRPr="005C36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u w:val="single"/>
          <w14:ligatures w14:val="none"/>
        </w:rPr>
        <w:t xml:space="preserve">3 </w:t>
      </w:r>
      <w:r w:rsidRPr="005C3648">
        <w:rPr>
          <w:rFonts w:ascii="TH SarabunPSK" w:eastAsia="Times New Roman" w:hAnsi="TH SarabunPSK" w:cs="TH SarabunPSK"/>
          <w:b/>
          <w:bCs/>
          <w:kern w:val="0"/>
          <w:sz w:val="28"/>
          <w:szCs w:val="28"/>
          <w:u w:val="single"/>
          <w:cs/>
          <w14:ligatures w14:val="none"/>
        </w:rPr>
        <w:t>การรายงานผล</w:t>
      </w:r>
    </w:p>
    <w:p w14:paraId="528460F7" w14:textId="7777777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3.1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ห้องปฏิบัติการฯ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แจ้งผลให้ผู้ขอรับบริการทราบในรูปแบบรายงานผลการวิเคราะห์ (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Analysis Report)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สามารถขอรับ</w:t>
      </w:r>
      <w:r w:rsidRPr="005C3648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ผล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ได้</w:t>
      </w:r>
      <w:r w:rsidRPr="005C3648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ในการดาวโหลดผลในระบบ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</w:t>
      </w:r>
      <w:hyperlink r:id="rId6" w:tgtFrame="_blank" w:history="1">
        <w:r w:rsidRPr="005C3648">
          <w:rPr>
            <w:rFonts w:ascii="TH SarabunPSK" w:eastAsia="Times New Roman" w:hAnsi="TH SarabunPSK" w:cs="TH SarabunPSK"/>
            <w:color w:val="000000" w:themeColor="text1"/>
            <w:kern w:val="0"/>
            <w:sz w:val="28"/>
            <w:szCs w:val="28"/>
            <w14:ligatures w14:val="none"/>
          </w:rPr>
          <w:t>TINT e-Service</w:t>
        </w:r>
      </w:hyperlink>
      <w:r w:rsidRPr="005C3648">
        <w:rPr>
          <w:rFonts w:ascii="TH SarabunPSK" w:eastAsia="Times New Roman" w:hAnsi="TH SarabunPSK" w:cs="TH SarabunPSK" w:hint="cs"/>
          <w:color w:val="000000" w:themeColor="text1"/>
          <w:kern w:val="0"/>
          <w:sz w:val="28"/>
          <w:szCs w:val="28"/>
          <w:cs/>
          <w14:ligatures w14:val="none"/>
        </w:rPr>
        <w:t xml:space="preserve"> </w:t>
      </w:r>
      <w:r w:rsidRPr="005C3648">
        <w:rPr>
          <w:rFonts w:ascii="TH SarabunPSK" w:eastAsia="Times New Roman" w:hAnsi="TH SarabunPSK" w:cs="TH SarabunPSK"/>
          <w:color w:val="000000" w:themeColor="text1"/>
          <w:kern w:val="0"/>
          <w:sz w:val="28"/>
          <w:szCs w:val="28"/>
          <w14:ligatures w14:val="none"/>
        </w:rPr>
        <w:t>Platform</w:t>
      </w:r>
      <w:r w:rsidRPr="005C3648">
        <w:rPr>
          <w:rFonts w:ascii="TH SarabunPSK" w:eastAsia="Times New Roman" w:hAnsi="TH SarabunPSK" w:cs="TH SarabunPSK"/>
          <w:color w:val="4472C4" w:themeColor="accent1"/>
          <w:kern w:val="0"/>
          <w:sz w:val="28"/>
          <w:szCs w:val="28"/>
          <w:cs/>
          <w14:ligatures w14:val="none"/>
        </w:rPr>
        <w:t xml:space="preserve">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ด้วยตัวเอง หรือขอให้จัดส่งทางไปรษณีย์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 (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แจ้งความต้องการในแบบคำขอรับบริการฯ)</w:t>
      </w:r>
    </w:p>
    <w:p w14:paraId="3B88B720" w14:textId="7777777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3.2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ห้องปฏิบัติการฯ มีนโยบาย ไม่แจ้งผลวิเคราะห์ทางโทรศัพท์หรือโทรสาร</w:t>
      </w:r>
    </w:p>
    <w:p w14:paraId="06E626D6" w14:textId="7777777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</w:pP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3.3 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ห้องปฏิบัติการฯ มีนโยบาย ไม่รายงานผลถึงความสอดคล้องกับเกณฑ์ มาตรฐาน หรือข้อกฎหมาย (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>Specification, Standard, Law)</w:t>
      </w:r>
    </w:p>
    <w:p w14:paraId="466C9BE9" w14:textId="77777777" w:rsidR="005C3648" w:rsidRPr="005C3648" w:rsidRDefault="005C3648" w:rsidP="005C3648">
      <w:pPr>
        <w:spacing w:after="0" w:line="240" w:lineRule="auto"/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</w:pPr>
      <w:r w:rsidRPr="005C3648">
        <w:rPr>
          <w:rFonts w:ascii="TH SarabunPSK" w:eastAsia="Times New Roman" w:hAnsi="TH SarabunPSK" w:cs="TH SarabunPSK"/>
          <w:kern w:val="0"/>
          <w:sz w:val="28"/>
          <w:szCs w:val="28"/>
          <w14:ligatures w14:val="none"/>
        </w:rPr>
        <w:t xml:space="preserve">3.4 </w:t>
      </w:r>
      <w:r w:rsidRPr="005C3648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>ห้องปฏิบัติการ</w:t>
      </w:r>
      <w:r w:rsidRPr="005C3648">
        <w:rPr>
          <w:rFonts w:ascii="TH SarabunPSK" w:eastAsia="Times New Roman" w:hAnsi="TH SarabunPSK" w:cs="TH SarabunPSK"/>
          <w:kern w:val="0"/>
          <w:sz w:val="28"/>
          <w:szCs w:val="28"/>
          <w:cs/>
          <w14:ligatures w14:val="none"/>
        </w:rPr>
        <w:t>ฯ มีนโยบาย</w:t>
      </w:r>
      <w:r w:rsidRPr="005C3648">
        <w:rPr>
          <w:rFonts w:ascii="TH SarabunPSK" w:eastAsia="Times New Roman" w:hAnsi="TH SarabunPSK" w:cs="TH SarabunPSK" w:hint="cs"/>
          <w:kern w:val="0"/>
          <w:sz w:val="28"/>
          <w:szCs w:val="28"/>
          <w:cs/>
          <w14:ligatures w14:val="none"/>
        </w:rPr>
        <w:t xml:space="preserve"> ไม่ตัดสินผลการวิเคราะห์ให้แก่ผู้ใช้บริการ</w:t>
      </w:r>
    </w:p>
    <w:p w14:paraId="30747729" w14:textId="77777777" w:rsidR="005C3648" w:rsidRPr="005C3648" w:rsidRDefault="005C3648" w:rsidP="005C3648">
      <w:pPr>
        <w:spacing w:line="259" w:lineRule="auto"/>
        <w:contextualSpacing/>
        <w:rPr>
          <w:rFonts w:ascii="TH SarabunPSK" w:hAnsi="TH SarabunPSK" w:cs="TH SarabunPSK" w:hint="cs"/>
          <w:szCs w:val="32"/>
        </w:rPr>
      </w:pPr>
    </w:p>
    <w:p w14:paraId="7F85E3A5" w14:textId="73999A9A" w:rsidR="005C3648" w:rsidRPr="005C3648" w:rsidRDefault="005C3648" w:rsidP="005C3648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C3648">
        <w:rPr>
          <w:rFonts w:ascii="TH SarabunPSK" w:hAnsi="TH SarabunPSK" w:cs="TH SarabunPSK" w:hint="cs"/>
          <w:szCs w:val="32"/>
          <w:cs/>
        </w:rPr>
        <w:t xml:space="preserve">                     </w:t>
      </w:r>
      <w:r w:rsidRPr="005C3648">
        <w:rPr>
          <w:rFonts w:ascii="TH SarabunPSK" w:hAnsi="TH SarabunPSK" w:cs="TH SarabunPSK"/>
          <w:szCs w:val="32"/>
        </w:rPr>
        <w:t xml:space="preserve">                        </w:t>
      </w:r>
      <w:r w:rsidRPr="005C3648">
        <w:rPr>
          <w:rFonts w:ascii="TH SarabunPSK" w:hAnsi="TH SarabunPSK" w:cs="TH SarabunPSK" w:hint="cs"/>
          <w:sz w:val="22"/>
          <w:szCs w:val="28"/>
        </w:rPr>
        <w:sym w:font="Wingdings" w:char="F06F"/>
      </w:r>
      <w:r w:rsidRPr="005C3648">
        <w:rPr>
          <w:rFonts w:ascii="TH SarabunPSK" w:hAnsi="TH SarabunPSK" w:cs="TH SarabunPSK" w:hint="cs"/>
          <w:sz w:val="22"/>
          <w:szCs w:val="28"/>
          <w:cs/>
        </w:rPr>
        <w:t xml:space="preserve">  </w:t>
      </w:r>
      <w:r w:rsidRPr="005C3648">
        <w:rPr>
          <w:rFonts w:ascii="TH SarabunPSK" w:hAnsi="TH SarabunPSK" w:cs="TH SarabunPSK"/>
          <w:sz w:val="22"/>
          <w:szCs w:val="28"/>
          <w:cs/>
        </w:rPr>
        <w:t>ข้าพเจ้าได้อ่านและยอมรับข้อตกลงและเงื่อนไขการรับบริการแล้ว</w:t>
      </w:r>
    </w:p>
    <w:p w14:paraId="2BF69651" w14:textId="77777777" w:rsidR="005C3648" w:rsidRDefault="005C3648" w:rsidP="005C3648">
      <w:pPr>
        <w:spacing w:after="0" w:line="240" w:lineRule="auto"/>
        <w:rPr>
          <w:rFonts w:ascii="TH SarabunPSK" w:hAnsi="TH SarabunPSK" w:cs="TH SarabunPSK" w:hint="cs"/>
          <w:sz w:val="28"/>
          <w:szCs w:val="28"/>
        </w:rPr>
      </w:pPr>
    </w:p>
    <w:p w14:paraId="4E7B1F3C" w14:textId="010EB306" w:rsidR="005C3648" w:rsidRDefault="005C3648" w:rsidP="005C3648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…………………………………………………</w:t>
      </w:r>
    </w:p>
    <w:p w14:paraId="646A2905" w14:textId="77777777" w:rsidR="005C3648" w:rsidRPr="00C17E10" w:rsidRDefault="005C3648" w:rsidP="005C3648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                                         )</w:t>
      </w:r>
    </w:p>
    <w:sectPr w:rsidR="005C3648" w:rsidRPr="00C17E10" w:rsidSect="00C17E10">
      <w:pgSz w:w="12240" w:h="15840"/>
      <w:pgMar w:top="1474" w:right="102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96349"/>
    <w:multiLevelType w:val="hybridMultilevel"/>
    <w:tmpl w:val="E73EDEEE"/>
    <w:lvl w:ilvl="0" w:tplc="1F9C0B5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F337A"/>
    <w:multiLevelType w:val="hybridMultilevel"/>
    <w:tmpl w:val="2A4E498C"/>
    <w:lvl w:ilvl="0" w:tplc="1F9C0B5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90185"/>
    <w:multiLevelType w:val="hybridMultilevel"/>
    <w:tmpl w:val="0110279C"/>
    <w:lvl w:ilvl="0" w:tplc="1F9C0B54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070267">
    <w:abstractNumId w:val="0"/>
  </w:num>
  <w:num w:numId="2" w16cid:durableId="421295960">
    <w:abstractNumId w:val="2"/>
  </w:num>
  <w:num w:numId="3" w16cid:durableId="179355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10"/>
    <w:rsid w:val="0001311C"/>
    <w:rsid w:val="000407DA"/>
    <w:rsid w:val="000A1C23"/>
    <w:rsid w:val="000D329A"/>
    <w:rsid w:val="001924BA"/>
    <w:rsid w:val="002A13D0"/>
    <w:rsid w:val="00355495"/>
    <w:rsid w:val="003A6F4C"/>
    <w:rsid w:val="003E0D80"/>
    <w:rsid w:val="005C3648"/>
    <w:rsid w:val="006E5273"/>
    <w:rsid w:val="00747699"/>
    <w:rsid w:val="00824365"/>
    <w:rsid w:val="008F2709"/>
    <w:rsid w:val="009044EB"/>
    <w:rsid w:val="00977C44"/>
    <w:rsid w:val="00A92228"/>
    <w:rsid w:val="00C17E10"/>
    <w:rsid w:val="00C631EB"/>
    <w:rsid w:val="00C77C8F"/>
    <w:rsid w:val="00CE7713"/>
    <w:rsid w:val="00CF33ED"/>
    <w:rsid w:val="00DA1C59"/>
    <w:rsid w:val="00E03371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02EB"/>
  <w15:chartTrackingRefBased/>
  <w15:docId w15:val="{AFF408DF-1D95-4091-A261-652A6CB0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E1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E1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E1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E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E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17E1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17E1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17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E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E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E10"/>
    <w:rPr>
      <w:b/>
      <w:bCs/>
      <w:smallCaps/>
      <w:color w:val="2F5496" w:themeColor="accent1" w:themeShade="BF"/>
      <w:spacing w:val="5"/>
    </w:rPr>
  </w:style>
  <w:style w:type="paragraph" w:customStyle="1" w:styleId="a">
    <w:name w:val="à¹×éÍàÃ×èÍ§"/>
    <w:basedOn w:val="Normal"/>
    <w:rsid w:val="001924BA"/>
    <w:pPr>
      <w:spacing w:after="0" w:line="240" w:lineRule="auto"/>
      <w:ind w:right="386"/>
    </w:pPr>
    <w:rPr>
      <w:rFonts w:ascii="Cordia New" w:eastAsia="Times New Roman" w:hAnsi="Cordia New" w:cs="Cordia New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6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4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8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0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3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.tint.or.th/" TargetMode="External"/><Relationship Id="rId5" Type="http://schemas.openxmlformats.org/officeDocument/2006/relationships/hyperlink" Target="https://eservice.tint.or.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Rungarun  Sroysaeng</dc:creator>
  <cp:keywords/>
  <dc:description/>
  <cp:lastModifiedBy>Sasiwimon  Naksuriyawong</cp:lastModifiedBy>
  <cp:revision>6</cp:revision>
  <cp:lastPrinted>2025-08-19T08:00:00Z</cp:lastPrinted>
  <dcterms:created xsi:type="dcterms:W3CDTF">2025-10-07T06:31:00Z</dcterms:created>
  <dcterms:modified xsi:type="dcterms:W3CDTF">2025-10-07T06:33:00Z</dcterms:modified>
</cp:coreProperties>
</file>